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283" w:hanging="284.99999999999994"/>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smallCaps w:val="1"/>
          <w:color w:val="000000"/>
          <w:sz w:val="36"/>
          <w:szCs w:val="36"/>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36"/>
          <w:szCs w:val="36"/>
        </w:rPr>
      </w:pPr>
      <w:r w:rsidDel="00000000" w:rsidR="00000000" w:rsidRPr="00000000">
        <w:rPr>
          <w:rFonts w:ascii="Arial" w:cs="Arial" w:eastAsia="Arial" w:hAnsi="Arial"/>
          <w:color w:val="000000"/>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color w:val="000000"/>
          <w:sz w:val="36"/>
          <w:szCs w:val="36"/>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985"/>
        </w:tabs>
        <w:spacing w:after="120" w:before="120" w:lineRule="auto"/>
        <w:ind w:left="-142"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66.9291338582675" w:firstLine="141.7322834645671"/>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definitions shall apply:</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“Applicable Financial Indicators”</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ind w:left="566.9291338582675" w:firstLine="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means the financial indicators from Paragraph </w:t>
            </w:r>
            <w:r w:rsidDel="00000000" w:rsidR="00000000" w:rsidRPr="00000000">
              <w:rPr>
                <w:rFonts w:ascii="Arial" w:cs="Arial" w:eastAsia="Arial" w:hAnsi="Arial"/>
                <w:smallCaps w:val="1"/>
                <w:color w:val="000000"/>
                <w:sz w:val="24"/>
                <w:szCs w:val="24"/>
                <w:rtl w:val="0"/>
              </w:rPr>
              <w:t xml:space="preserve">5.1 </w:t>
            </w:r>
            <w:r w:rsidDel="00000000" w:rsidR="00000000" w:rsidRPr="00000000">
              <w:rPr>
                <w:rFonts w:ascii="Arial" w:cs="Arial" w:eastAsia="Arial" w:hAnsi="Arial"/>
                <w:color w:val="000000"/>
                <w:sz w:val="24"/>
                <w:szCs w:val="24"/>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644" w:right="-232.91338582677156"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written confirmation from the Board 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accordance with Paragraph 8 of this Schedule;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Rule="auto"/>
              <w:ind w:left="644" w:hanging="1004"/>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644" w:right="-374.64566929133866" w:hanging="644"/>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“Cabinet Office Markets and Suppliers Team”</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644" w:right="-516.3779527559058"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644"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“FDE Group”</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w:t>
            </w:r>
            <w:r w:rsidDel="00000000" w:rsidR="00000000" w:rsidRPr="00000000">
              <w:rPr>
                <w:rFonts w:ascii="Arial" w:cs="Arial" w:eastAsia="Arial" w:hAnsi="Arial"/>
                <w:color w:val="000000"/>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644" w:right="-91.18110236220446"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644"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644" w:right="-240"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Remediation Plan”</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134"/>
              </w:tabs>
              <w:spacing w:after="120" w:before="120" w:lineRule="auto"/>
              <w:ind w:left="644" w:right="-374.64566929133866" w:hanging="502.26771653543295"/>
              <w:jc w:val="left"/>
              <w:rPr>
                <w:rFonts w:ascii="Arial" w:cs="Arial" w:eastAsia="Arial" w:hAnsi="Arial"/>
                <w:b w:val="1"/>
                <w:color w:val="000000"/>
                <w:sz w:val="24"/>
                <w:szCs w:val="24"/>
              </w:rPr>
            </w:pPr>
            <w:bookmarkStart w:colFirst="0" w:colLast="0" w:name="_heading=h.3dy6vkm" w:id="0"/>
            <w:bookmarkEnd w:id="0"/>
            <w:r w:rsidDel="00000000" w:rsidR="00000000" w:rsidRPr="00000000">
              <w:rPr>
                <w:rFonts w:ascii="Arial" w:cs="Arial" w:eastAsia="Arial" w:hAnsi="Arial"/>
                <w:b w:val="1"/>
                <w:color w:val="000000"/>
                <w:sz w:val="24"/>
                <w:szCs w:val="24"/>
                <w:rtl w:val="0"/>
              </w:rPr>
              <w:t xml:space="preserve">“Financial Indicators”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Supplier, Key Sub-contractors and the Guarantor, means each of the financial indicators set out at paragraph 5.1 of this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644" w:right="-232.91338582677156"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830"/>
              </w:tabs>
              <w:spacing w:after="120" w:before="120" w:lineRule="auto"/>
              <w:ind w:left="644" w:right="-232.91338582677156"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566.9291338582675"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4"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566.9291338582675" w:hanging="75"/>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rating agencies listed in Annex 1 of this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644" w:hanging="502.26771653543295"/>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4" w:hanging="77.0708661417325"/>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means those suppliers to government listed at </w:t>
            </w:r>
            <w:hyperlink r:id="rId7">
              <w:r w:rsidDel="00000000" w:rsidR="00000000" w:rsidRPr="00000000">
                <w:rPr>
                  <w:rFonts w:ascii="Arial" w:cs="Arial" w:eastAsia="Arial" w:hAnsi="Arial"/>
                  <w:color w:val="000000"/>
                  <w:sz w:val="24"/>
                  <w:szCs w:val="24"/>
                  <w:rtl w:val="0"/>
                </w:rPr>
                <w:t xml:space="preserve">https://www.gov.uk/government/publications/strategic-suppliers</w:t>
              </w:r>
            </w:hyperlink>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2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terms of this Schedule shall survive: </w:t>
      </w:r>
    </w:p>
    <w:p w:rsidR="00000000" w:rsidDel="00000000" w:rsidP="00000000" w:rsidRDefault="00000000" w:rsidRPr="00000000" w14:paraId="0000002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Call-Off Contract until the termination or expiry of the Call-Off Contract.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1004"/>
        <w:jc w:val="left"/>
        <w:rPr>
          <w:rFonts w:ascii="Arial Bold" w:cs="Arial Bold" w:eastAsia="Arial Bold" w:hAnsi="Arial Bold"/>
          <w:color w:val="000000"/>
          <w:sz w:val="24"/>
          <w:szCs w:val="24"/>
        </w:rPr>
      </w:pPr>
      <w:r w:rsidDel="00000000" w:rsidR="00000000" w:rsidRPr="00000000">
        <w:rPr>
          <w:rtl w:val="0"/>
        </w:rPr>
      </w:r>
    </w:p>
    <w:p w:rsidR="00000000" w:rsidDel="00000000" w:rsidP="00000000" w:rsidRDefault="00000000" w:rsidRPr="00000000" w14:paraId="0000002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Warranties and duty to notify</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report submitted by the Supplier pursuant to paragraph 2.3.2 shall:</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Distress events</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shall be Financial Distress Events:</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non-payment by an FDE Group entity of any financial indebtedness;</w:t>
      </w:r>
    </w:p>
    <w:p w:rsidR="00000000" w:rsidDel="00000000" w:rsidP="00000000" w:rsidRDefault="00000000" w:rsidRPr="00000000" w14:paraId="00000043">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financial indebtedness of an FDE Group entity becoming due as a result of an event of default;</w:t>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an FDE Group entity; or</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985"/>
        </w:tabs>
        <w:spacing w:after="120" w:before="120" w:lineRule="auto"/>
        <w:ind w:left="246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b w:val="1"/>
          <w:color w:val="000000"/>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Consequences</w:t>
      </w:r>
      <w:r w:rsidDel="00000000" w:rsidR="00000000" w:rsidRPr="00000000">
        <w:rPr>
          <w:rFonts w:ascii="Arial Bold" w:cs="Arial Bold" w:eastAsia="Arial Bold" w:hAnsi="Arial Bold"/>
          <w:color w:val="000000"/>
          <w:sz w:val="24"/>
          <w:szCs w:val="24"/>
          <w:rtl w:val="0"/>
        </w:rPr>
        <w:t xml:space="preserve"> of Financial Distress Events</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Monitored Supplier, the Guarantor and/or any relevant Key Sub-contractor shall):</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approval of the Financial Distress Remediation Plan by the Relevant Authority,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s>
        <w:spacing w:after="120" w:before="120" w:lineRule="auto"/>
        <w:ind w:left="340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Calculation</w:t>
            </w:r>
          </w:p>
        </w:tc>
        <w:tc>
          <w:tcPr>
            <w:shd w:fill="d9d9d9"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Target Threshold:</w:t>
            </w:r>
          </w:p>
        </w:tc>
        <w:tc>
          <w:tcPr>
            <w:shd w:fill="d9d9d9"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b w:val="1"/>
                <w:color w:val="000000"/>
                <w:sz w:val="24"/>
                <w:szCs w:val="24"/>
              </w:rPr>
            </w:pPr>
            <w:bookmarkStart w:colFirst="0" w:colLast="0" w:name="_heading=h.1ci93xb" w:id="1"/>
            <w:bookmarkEnd w:id="1"/>
            <w:r w:rsidDel="00000000" w:rsidR="00000000" w:rsidRPr="00000000">
              <w:rPr>
                <w:rFonts w:ascii="Arial" w:cs="Arial" w:eastAsia="Arial" w:hAnsi="Arial"/>
                <w:b w:val="1"/>
                <w:color w:val="000000"/>
                <w:sz w:val="24"/>
                <w:szCs w:val="24"/>
                <w:rtl w:val="0"/>
              </w:rPr>
              <w:t xml:space="preserve">Monitoring and Reporting Frequency </w:t>
            </w:r>
          </w:p>
        </w:tc>
      </w:tr>
      <w:tr>
        <w:trPr>
          <w:cantSplit w:val="0"/>
          <w:tblHeader w:val="0"/>
        </w:trPr>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[Turnover Ratio = Total Income/Annual Contract Value]</w:t>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[1.5]] times</w:t>
            </w:r>
          </w:p>
        </w:tc>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[Operating Margin = Operating Profit / Revenue]</w:t>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[1.5%]]</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[Net Debt to EBITDA ratio = Net Debt / EBITDA]</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[&lt; [3.5]] times</w:t>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7030a0"/>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color w:val="000000"/>
                <w:sz w:val="24"/>
                <w:szCs w:val="24"/>
                <w:rtl w:val="0"/>
              </w:rPr>
              <w:t xml:space="preserve">90] days of each [accounting reference date</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color w:val="000000"/>
                <w:sz w:val="24"/>
                <w:szCs w:val="24"/>
                <w:rtl w:val="0"/>
              </w:rPr>
              <w:t xml:space="preserve"> based upon </w:t>
            </w:r>
            <w:r w:rsidDel="00000000" w:rsidR="00000000" w:rsidRPr="00000000">
              <w:rPr>
                <w:rFonts w:ascii="Arial" w:cs="Arial" w:eastAsia="Arial" w:hAnsi="Arial"/>
                <w:i w:val="1"/>
                <w:color w:val="7030a0"/>
                <w:sz w:val="24"/>
                <w:szCs w:val="24"/>
                <w:rtl w:val="0"/>
              </w:rPr>
              <w:t xml:space="preserve">[</w:t>
            </w:r>
            <w:r w:rsidDel="00000000" w:rsidR="00000000" w:rsidRPr="00000000">
              <w:rPr>
                <w:rFonts w:ascii="Arial" w:cs="Arial" w:eastAsia="Arial" w:hAnsi="Arial"/>
                <w:i w:val="1"/>
                <w:color w:val="000000"/>
                <w:sz w:val="24"/>
                <w:szCs w:val="24"/>
                <w:rtl w:val="0"/>
              </w:rPr>
              <w:t xml:space="preserve">EBITDA] for the 12 months ending on, and Net Debt at, the relevant [accounting reference date]</w:t>
            </w:r>
          </w:p>
        </w:tc>
      </w:tr>
      <w:tr>
        <w:trPr>
          <w:cantSplit w:val="0"/>
          <w:tblHeader w:val="0"/>
        </w:trPr>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Debt + Net Pension Deficit to EBITDA Ratio = (Net Debt + Net Pension Deficit) / EBITDA]</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[&lt; [5]] times</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5</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Interest Paid Cover = Earnings Before Interest and Tax / Net Interest Paid]</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[3]] times</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w:t>
            </w:r>
            <w:r w:rsidDel="00000000" w:rsidR="00000000" w:rsidRPr="00000000">
              <w:rPr>
                <w:rFonts w:ascii="Arial" w:cs="Arial" w:eastAsia="Arial" w:hAnsi="Arial"/>
                <w:i w:val="1"/>
                <w:color w:val="8064a2"/>
                <w:sz w:val="24"/>
                <w:szCs w:val="24"/>
                <w:rtl w:val="0"/>
              </w:rPr>
              <w:t xml:space="preserve">] </w:t>
            </w:r>
            <w:r w:rsidDel="00000000" w:rsidR="00000000" w:rsidRPr="00000000">
              <w:rPr>
                <w:rFonts w:ascii="Arial" w:cs="Arial" w:eastAsia="Arial" w:hAnsi="Arial"/>
                <w:i w:val="1"/>
                <w:color w:val="000000"/>
                <w:sz w:val="24"/>
                <w:szCs w:val="24"/>
                <w:rtl w:val="0"/>
              </w:rPr>
              <w:t xml:space="preserve">in arrears within [90] days of each [accounting reference date] based upon figures for the 12 months ending on the relevant [accounting reference date]</w:t>
            </w:r>
          </w:p>
        </w:tc>
      </w:tr>
      <w:tr>
        <w:trPr>
          <w:cantSplit w:val="0"/>
          <w:tblHeader w:val="0"/>
        </w:trPr>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[Acid Ratio = (Current Assets – Inventories) / Current Liabilities]</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[1]] times</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[Net Asset Value = Net Assets]</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[&gt; £0]</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200" w:before="100" w:lineRule="auto"/>
              <w:jc w:val="cente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pPr>
      <w:r w:rsidDel="00000000" w:rsidR="00000000" w:rsidRPr="00000000">
        <w:rPr>
          <w:rFonts w:ascii="Arial" w:cs="Arial" w:eastAsia="Arial" w:hAnsi="Arial"/>
          <w:color w:val="000000"/>
          <w:sz w:val="24"/>
          <w:szCs w:val="24"/>
          <w:rtl w:val="0"/>
        </w:rPr>
        <w:t xml:space="preserve">Monitored Suppliers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Supplier</w:t>
            </w:r>
          </w:p>
        </w:tc>
        <w:tc>
          <w:tcPr>
            <w:shd w:fill="d9d9d9"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Applicable Financial Indicators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3whwml4" w:id="2"/>
            <w:bookmarkEnd w:id="2"/>
            <w:r w:rsidDel="00000000" w:rsidR="00000000" w:rsidRPr="00000000">
              <w:rPr>
                <w:rFonts w:ascii="Arial" w:cs="Arial" w:eastAsia="Arial" w:hAnsi="Arial"/>
                <w:color w:val="000000"/>
                <w:sz w:val="24"/>
                <w:szCs w:val="24"/>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[Entity 2 e.g Group Member, Sub-contractor, Relevant Parent Company etc.]</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[1 – Operating Margin]</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[2 – etc.]</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[3][4][5][6][7][8][etc..]</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[etc.]</w:t>
            </w:r>
          </w:p>
        </w:tc>
      </w:tr>
    </w:tb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134"/>
        </w:tabs>
        <w:spacing w:after="120" w:before="120" w:lineRule="auto"/>
        <w:ind w:left="360" w:hanging="1004"/>
        <w:jc w:val="left"/>
        <w:rPr>
          <w:color w:val="000000"/>
        </w:rPr>
      </w:pPr>
      <w:r w:rsidDel="00000000" w:rsidR="00000000" w:rsidRPr="00000000">
        <w:rPr>
          <w:rtl w:val="0"/>
        </w:rPr>
      </w:r>
    </w:p>
    <w:p w:rsidR="00000000" w:rsidDel="00000000" w:rsidP="00000000" w:rsidRDefault="00000000" w:rsidRPr="00000000" w14:paraId="0000009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Termination rights</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be entitled to terminate the Contract if:</w:t>
      </w:r>
    </w:p>
    <w:p w:rsidR="00000000" w:rsidDel="00000000" w:rsidP="00000000" w:rsidRDefault="00000000" w:rsidRPr="00000000" w14:paraId="0000009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A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Primacy of Credit Ratings</w:t>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5">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Board confirmation</w:t>
      </w:r>
    </w:p>
    <w:p w:rsidR="00000000" w:rsidDel="00000000" w:rsidP="00000000" w:rsidRDefault="00000000" w:rsidRPr="00000000" w14:paraId="000000A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color w:val="000000"/>
          <w:sz w:val="24"/>
          <w:szCs w:val="24"/>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AF">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&amp; Bradstreet]</w:t>
      </w:r>
    </w:p>
    <w:p w:rsidR="00000000" w:rsidDel="00000000" w:rsidP="00000000" w:rsidRDefault="00000000" w:rsidRPr="00000000" w14:paraId="000000B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300" w:before="100" w:lineRule="auto"/>
        <w:rPr>
          <w:rFonts w:ascii="Arial Bold" w:cs="Arial Bold" w:eastAsia="Arial Bold" w:hAnsi="Arial Bold"/>
          <w:b w:val="1"/>
          <w:smallCaps w:val="1"/>
          <w:color w:val="000000"/>
          <w:sz w:val="24"/>
          <w:szCs w:val="24"/>
        </w:rPr>
      </w:pPr>
      <w:bookmarkStart w:colFirst="0" w:colLast="0" w:name="_heading=h.2bn6wsx" w:id="3"/>
      <w:bookmarkEnd w:id="3"/>
      <w:r w:rsidDel="00000000" w:rsidR="00000000" w:rsidRPr="00000000">
        <w:rPr>
          <w:rFonts w:ascii="Arial Bold" w:cs="Arial Bold" w:eastAsia="Arial Bold" w:hAnsi="Arial Bold"/>
          <w:b w:val="1"/>
          <w:color w:val="000000"/>
          <w:sz w:val="24"/>
          <w:szCs w:val="24"/>
          <w:rtl w:val="0"/>
        </w:rPr>
        <w:t xml:space="preserve">Annex 2</w:t>
      </w:r>
      <w:r w:rsidDel="00000000" w:rsidR="00000000" w:rsidRPr="00000000">
        <w:rPr>
          <w:rFonts w:ascii="Arial Bold" w:cs="Arial Bold" w:eastAsia="Arial Bold" w:hAnsi="Arial Bold"/>
          <w:b w:val="1"/>
          <w:smallCaps w:val="1"/>
          <w:color w:val="000000"/>
          <w:sz w:val="24"/>
          <w:szCs w:val="24"/>
          <w:rtl w:val="0"/>
        </w:rPr>
        <w:t xml:space="preserve">: </w:t>
      </w:r>
      <w:r w:rsidDel="00000000" w:rsidR="00000000" w:rsidRPr="00000000">
        <w:rPr>
          <w:rFonts w:ascii="Arial Bold" w:cs="Arial Bold" w:eastAsia="Arial Bold" w:hAnsi="Arial Bold"/>
          <w:b w:val="1"/>
          <w:color w:val="000000"/>
          <w:sz w:val="24"/>
          <w:szCs w:val="24"/>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w:t>
            </w:r>
          </w:p>
        </w:tc>
        <w:tc>
          <w:tcPr>
            <w:shd w:fill="ffffff" w:val="clear"/>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r>
        <w:trPr>
          <w:cantSplit w:val="0"/>
          <w:tblHeader w:val="0"/>
        </w:trPr>
        <w:tc>
          <w:tcPr>
            <w:shd w:fill="ffffff" w:val="clear"/>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[Guarantor]</w:t>
            </w:r>
          </w:p>
        </w:tc>
        <w:tc>
          <w:tcPr>
            <w:shd w:fill="ffffff" w:val="clear"/>
          </w:tcPr>
          <w:p w:rsidR="00000000" w:rsidDel="00000000" w:rsidP="00000000" w:rsidRDefault="00000000" w:rsidRPr="00000000" w14:paraId="000000B8">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9">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A">
            <w:pPr>
              <w:keepNext w:val="1"/>
              <w:pBdr>
                <w:top w:space="0" w:sz="0" w:val="nil"/>
                <w:left w:space="0" w:sz="0" w:val="nil"/>
                <w:bottom w:space="0" w:sz="0" w:val="nil"/>
                <w:right w:space="0" w:sz="0" w:val="nil"/>
                <w:between w:space="0" w:sz="0" w:val="nil"/>
              </w:pBdr>
              <w:spacing w:after="120" w:before="240" w:lineRule="auto"/>
              <w:ind w:left="142"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bl>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3: Calculation methodology for Financial Indicators</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i w:val="1"/>
          <w:color w:val="000000"/>
          <w:sz w:val="24"/>
          <w:szCs w:val="24"/>
        </w:rPr>
      </w:pPr>
      <w:bookmarkStart w:colFirst="0" w:colLast="0" w:name="_heading=h.qsh70q" w:id="4"/>
      <w:bookmarkEnd w:id="4"/>
      <w:r w:rsidDel="00000000" w:rsidR="00000000" w:rsidRPr="00000000">
        <w:rPr>
          <w:rFonts w:ascii="Arial" w:cs="Arial" w:eastAsia="Arial" w:hAnsi="Arial"/>
          <w:b w:val="1"/>
          <w:i w:val="1"/>
          <w:color w:val="000000"/>
          <w:sz w:val="24"/>
          <w:szCs w:val="24"/>
          <w:highlight w:val="yellow"/>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General methodology</w:t>
      </w:r>
    </w:p>
    <w:p w:rsidR="00000000" w:rsidDel="00000000" w:rsidP="00000000" w:rsidRDefault="00000000" w:rsidRPr="00000000" w14:paraId="000000C1">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Terminology</w:t>
      </w:r>
      <w:r w:rsidDel="00000000" w:rsidR="00000000" w:rsidRPr="00000000">
        <w:rPr>
          <w:rFonts w:ascii="Arial" w:cs="Arial" w:eastAsia="Arial" w:hAnsi="Arial"/>
          <w:color w:val="000000"/>
          <w:sz w:val="24"/>
          <w:szCs w:val="24"/>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2">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b w:val="1"/>
          <w:i w:val="1"/>
          <w:color w:val="000000"/>
          <w:sz w:val="24"/>
          <w:szCs w:val="24"/>
          <w:rtl w:val="0"/>
        </w:rPr>
        <w:t xml:space="preserve">Groups</w:t>
      </w:r>
      <w:r w:rsidDel="00000000" w:rsidR="00000000" w:rsidRPr="00000000">
        <w:rPr>
          <w:rFonts w:ascii="Arial" w:cs="Arial" w:eastAsia="Arial" w:hAnsi="Arial"/>
          <w:color w:val="000000"/>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3">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Foreign currency conversion</w:t>
      </w:r>
      <w:r w:rsidDel="00000000" w:rsidR="00000000" w:rsidRPr="00000000">
        <w:rPr>
          <w:rFonts w:ascii="Arial" w:cs="Arial" w:eastAsia="Arial" w:hAnsi="Arial"/>
          <w:color w:val="000000"/>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4">
      <w:pPr>
        <w:numPr>
          <w:ilvl w:val="0"/>
          <w:numId w:val="1"/>
        </w:num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rtl w:val="0"/>
        </w:rPr>
        <w:t xml:space="preserve">Treatment of non-underlying items</w:t>
      </w:r>
      <w:r w:rsidDel="00000000" w:rsidR="00000000" w:rsidRPr="00000000">
        <w:rPr>
          <w:rFonts w:ascii="Arial" w:cs="Arial" w:eastAsia="Arial" w:hAnsi="Arial"/>
          <w:color w:val="000000"/>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200" w:before="100" w:lineRule="auto"/>
        <w:ind w:left="720" w:hanging="720"/>
        <w:jc w:val="left"/>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u w:val="singl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w:t>
            </w:r>
          </w:p>
        </w:tc>
        <w:tc>
          <w:tcPr>
            <w:shd w:fill="d9d9d9"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Methodology</w:t>
            </w:r>
          </w:p>
        </w:tc>
      </w:tr>
      <w:tr>
        <w:trPr>
          <w:cantSplit w:val="0"/>
          <w:tblHeader w:val="0"/>
        </w:trPr>
        <w:tc>
          <w:tcP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Revenue should be shown on the face of the Income Statement in a standard set of financial statements. It should exclude the entity’s share of the revenue of joint ventures or associates.</w:t>
            </w:r>
          </w:p>
        </w:tc>
      </w:tr>
      <w:tr>
        <w:trPr>
          <w:cantSplit w:val="0"/>
          <w:tblHeader w:val="0"/>
        </w:trPr>
        <w:tc>
          <w:tcP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Margin</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Operating Profit and Revenue should exclude the entity’s share of the results of any joint ventures or Associates.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Net Debt to EBITDA Ratio</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is negative (i.e. an entity has net cash), the relevant Financial Target Threshold should be treated as having been met. </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bookmarkStart w:colFirst="0" w:colLast="0" w:name="_heading=h.1pxezwc" w:id="6"/>
            <w:bookmarkEnd w:id="6"/>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color w:val="000000"/>
                <w:sz w:val="24"/>
                <w:szCs w:val="24"/>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4</w:t>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Debt + Net  Pension Deficit to EBITDA ratio</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Debt</w:t>
            </w:r>
            <w:r w:rsidDel="00000000" w:rsidR="00000000" w:rsidRPr="00000000">
              <w:rPr>
                <w:rFonts w:ascii="Arial" w:cs="Arial" w:eastAsia="Arial" w:hAnsi="Arial"/>
                <w:i w:val="1"/>
                <w:color w:val="000000"/>
                <w:sz w:val="24"/>
                <w:szCs w:val="24"/>
                <w:rtl w:val="0"/>
              </w:rPr>
              <w:t xml:space="preserve">” = Bank overdrafts + Loans and borrowings + Finance leases + Deferred consideration payable – Cash and cash equivalents</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Pension Deficit</w:t>
            </w:r>
            <w:r w:rsidDel="00000000" w:rsidR="00000000" w:rsidRPr="00000000">
              <w:rPr>
                <w:rFonts w:ascii="Arial" w:cs="Arial" w:eastAsia="Arial" w:hAnsi="Arial"/>
                <w:i w:val="1"/>
                <w:color w:val="000000"/>
                <w:sz w:val="24"/>
                <w:szCs w:val="24"/>
                <w:rtl w:val="0"/>
              </w:rPr>
              <w:t xml:space="preserve">” = Retirement Benefit Obligations – Retirement Benefit Assets</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EBITDA</w:t>
            </w:r>
            <w:r w:rsidDel="00000000" w:rsidR="00000000" w:rsidRPr="00000000">
              <w:rPr>
                <w:rFonts w:ascii="Arial" w:cs="Arial" w:eastAsia="Arial" w:hAnsi="Arial"/>
                <w:i w:val="1"/>
                <w:color w:val="000000"/>
                <w:sz w:val="24"/>
                <w:szCs w:val="24"/>
                <w:rtl w:val="0"/>
              </w:rPr>
              <w:t xml:space="preserve">” = Operating profit + Depreciation charge + Amortisation charge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Debt</w:t>
            </w:r>
            <w:r w:rsidDel="00000000" w:rsidR="00000000" w:rsidRPr="00000000">
              <w:rPr>
                <w:rFonts w:ascii="Arial" w:cs="Arial" w:eastAsia="Arial" w:hAnsi="Arial"/>
                <w:color w:val="000000"/>
                <w:sz w:val="24"/>
                <w:szCs w:val="24"/>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color w:val="000000"/>
                <w:sz w:val="24"/>
                <w:szCs w:val="24"/>
                <w:rtl w:val="0"/>
              </w:rPr>
              <w:t xml:space="preserve">not</w:t>
            </w:r>
            <w:r w:rsidDel="00000000" w:rsidR="00000000" w:rsidRPr="00000000">
              <w:rPr>
                <w:rFonts w:ascii="Arial" w:cs="Arial" w:eastAsia="Arial" w:hAnsi="Arial"/>
                <w:color w:val="000000"/>
                <w:sz w:val="24"/>
                <w:szCs w:val="24"/>
                <w:rtl w:val="0"/>
              </w:rPr>
              <w:t xml:space="preserve"> non-designated hedges). Borrowings should also include balances owed to other group members.</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Deferred consideration payable should be included in Net Debt despite typically being non-interest bearing.</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Cash and cash equivalents should include short-term financial investments shown in current assets.</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Net Pension Deficit</w:t>
            </w:r>
            <w:r w:rsidDel="00000000" w:rsidR="00000000" w:rsidRPr="00000000">
              <w:rPr>
                <w:rFonts w:ascii="Arial" w:cs="Arial" w:eastAsia="Arial" w:hAnsi="Arial"/>
                <w:color w:val="000000"/>
                <w:sz w:val="24"/>
                <w:szCs w:val="24"/>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Debt + Net Pension Deficit’ is negative, the relevant Financial Target Threshold should be treated as having been met.</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i w:val="1"/>
                <w:color w:val="000000"/>
                <w:sz w:val="24"/>
                <w:szCs w:val="24"/>
                <w:u w:val="single"/>
                <w:rtl w:val="0"/>
              </w:rPr>
              <w:t xml:space="preserve">EBITDA</w:t>
            </w:r>
            <w:r w:rsidDel="00000000" w:rsidR="00000000" w:rsidRPr="00000000">
              <w:rPr>
                <w:rFonts w:ascii="Arial" w:cs="Arial" w:eastAsia="Arial" w:hAnsi="Arial"/>
                <w:color w:val="000000"/>
                <w:sz w:val="24"/>
                <w:szCs w:val="24"/>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Interest Paid Cover</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Earnings Before Interest and Tax</w:t>
            </w:r>
            <w:r w:rsidDel="00000000" w:rsidR="00000000" w:rsidRPr="00000000">
              <w:rPr>
                <w:rFonts w:ascii="Arial" w:cs="Arial" w:eastAsia="Arial" w:hAnsi="Arial"/>
                <w:i w:val="1"/>
                <w:color w:val="000000"/>
                <w:sz w:val="24"/>
                <w:szCs w:val="24"/>
                <w:rtl w:val="0"/>
              </w:rPr>
              <w:t xml:space="preserve">” = Operating profit</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before="100" w:lineRule="auto"/>
              <w:jc w:val="left"/>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b w:val="1"/>
                <w:i w:val="1"/>
                <w:color w:val="000000"/>
                <w:sz w:val="24"/>
                <w:szCs w:val="24"/>
                <w:rtl w:val="0"/>
              </w:rPr>
              <w:t xml:space="preserve">Net Interest Paid</w:t>
            </w:r>
            <w:r w:rsidDel="00000000" w:rsidR="00000000" w:rsidRPr="00000000">
              <w:rPr>
                <w:rFonts w:ascii="Arial" w:cs="Arial" w:eastAsia="Arial" w:hAnsi="Arial"/>
                <w:i w:val="1"/>
                <w:color w:val="000000"/>
                <w:sz w:val="24"/>
                <w:szCs w:val="24"/>
                <w:rtl w:val="0"/>
              </w:rPr>
              <w:t xml:space="preserve">” = Interest paid – Interest received</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Interest received and interest paid should be shown on the face of the Cash Flow statement.</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Acid Ratio</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7</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Asset value</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rHeight w:val="99" w:hRule="atLeast"/>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9">
      <w:pPr>
        <w:spacing w:after="200" w:line="276" w:lineRule="auto"/>
        <w:jc w:val="left"/>
        <w:rPr>
          <w:rFonts w:ascii="Arial" w:cs="Arial" w:eastAsia="Arial" w:hAnsi="Arial"/>
          <w:sz w:val="24"/>
          <w:szCs w:val="24"/>
        </w:rPr>
      </w:pPr>
      <w:bookmarkStart w:colFirst="0" w:colLast="0" w:name="_heading=h.gjdgxs" w:id="8"/>
      <w:bookmarkEnd w:id="8"/>
      <w:r w:rsidDel="00000000" w:rsidR="00000000" w:rsidRPr="00000000">
        <w:br w:type="page"/>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300" w:before="100" w:lineRule="auto"/>
        <w:jc w:val="left"/>
        <w:rPr>
          <w:rFonts w:ascii="Arial Bold" w:cs="Arial Bold" w:eastAsia="Arial Bold" w:hAnsi="Arial Bold"/>
          <w:b w:val="1"/>
          <w:smallCaps w:val="1"/>
          <w:color w:val="000000"/>
          <w:sz w:val="24"/>
          <w:szCs w:val="24"/>
        </w:rPr>
      </w:pPr>
      <w:bookmarkStart w:colFirst="0" w:colLast="0" w:name="_heading=h.2p2csry" w:id="9"/>
      <w:bookmarkEnd w:id="9"/>
      <w:r w:rsidDel="00000000" w:rsidR="00000000" w:rsidRPr="00000000">
        <w:rPr>
          <w:rFonts w:ascii="Arial Bold" w:cs="Arial Bold" w:eastAsia="Arial Bold" w:hAnsi="Arial Bold"/>
          <w:b w:val="1"/>
          <w:smallCaps w:val="1"/>
          <w:color w:val="000000"/>
          <w:sz w:val="24"/>
          <w:szCs w:val="24"/>
          <w:rtl w:val="0"/>
        </w:rPr>
        <w:t xml:space="preserve">Annex 4: Board Confirmation</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Name:</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200" w:before="10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Reference Number:</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bookmarkStart w:colFirst="0" w:colLast="0" w:name="_heading=h.147n2zr" w:id="10"/>
      <w:bookmarkEnd w:id="10"/>
      <w:r w:rsidDel="00000000" w:rsidR="00000000" w:rsidRPr="00000000">
        <w:rPr>
          <w:rFonts w:ascii="Arial" w:cs="Arial" w:eastAsia="Arial" w:hAnsi="Arial"/>
          <w:color w:val="000000"/>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color w:val="000000"/>
          <w:sz w:val="24"/>
          <w:szCs w:val="24"/>
          <w:rtl w:val="0"/>
        </w:rPr>
        <w:t xml:space="preserve">Financial Distress</w:t>
      </w:r>
      <w:r w:rsidDel="00000000" w:rsidR="00000000" w:rsidRPr="00000000">
        <w:rPr>
          <w:rFonts w:ascii="Arial" w:cs="Arial" w:eastAsia="Arial" w:hAnsi="Arial"/>
          <w:color w:val="000000"/>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11">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12">
      <w:pPr>
        <w:numPr>
          <w:ilvl w:val="3"/>
          <w:numId w:val="1"/>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200" w:before="10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behalf of the Board of Directors:</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Chair</w:t>
        <w:tab/>
        <w:tab/>
        <w:t xml:space="preserve">…………………………………</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200" w:before="10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tab/>
        <w:tab/>
        <w:t xml:space="preserve">…………………………………</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Signed</w:t>
        <w:tab/>
        <w:tab/>
        <w:t xml:space="preserve">…………………………………</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200" w:before="100" w:lineRule="auto"/>
        <w:ind w:left="1803"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tab/>
        <w:tab/>
        <w:t xml:space="preserve">…………………………………</w:t>
      </w:r>
    </w:p>
    <w:p w:rsidR="00000000" w:rsidDel="00000000" w:rsidP="00000000" w:rsidRDefault="00000000" w:rsidRPr="00000000" w14:paraId="0000011D">
      <w:pPr>
        <w:spacing w:after="200" w:line="276" w:lineRule="auto"/>
        <w:jc w:val="left"/>
        <w:rPr>
          <w:rFonts w:ascii="Arial" w:cs="Arial" w:eastAsia="Arial" w:hAnsi="Arial"/>
          <w:sz w:val="24"/>
          <w:szCs w:val="24"/>
        </w:rPr>
      </w:pPr>
      <w:bookmarkStart w:colFirst="0" w:colLast="0" w:name="_heading=h.4i7ojhp" w:id="11"/>
      <w:bookmarkEnd w:id="1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rsid w:val="00A96D9C"/>
    <w:pPr>
      <w:keepNext w:val="1"/>
      <w:keepLines w:val="1"/>
      <w:spacing w:after="120" w:before="480"/>
      <w:outlineLvl w:val="0"/>
    </w:pPr>
    <w:rPr>
      <w:b w:val="1"/>
      <w:sz w:val="48"/>
      <w:szCs w:val="48"/>
    </w:rPr>
  </w:style>
  <w:style w:type="paragraph" w:styleId="Heading2">
    <w:name w:val="heading 2"/>
    <w:basedOn w:val="Normal"/>
    <w:next w:val="Normal"/>
    <w:link w:val="Heading2Char"/>
    <w:uiPriority w:val="9"/>
    <w:semiHidden w:val="1"/>
    <w:unhideWhenUsed w:val="1"/>
    <w:qFormat w:val="1"/>
    <w:rsid w:val="00A96D9C"/>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A96D9C"/>
    <w:pPr>
      <w:keepNext w:val="1"/>
      <w:keepLines w:val="1"/>
      <w:spacing w:after="80" w:before="280"/>
      <w:outlineLvl w:val="2"/>
    </w:pPr>
    <w:rPr>
      <w:b w:val="1"/>
      <w:sz w:val="28"/>
      <w:szCs w:val="28"/>
    </w:rPr>
  </w:style>
  <w:style w:type="paragraph" w:styleId="Heading4">
    <w:name w:val="heading 4"/>
    <w:basedOn w:val="Normal"/>
    <w:next w:val="Normal"/>
    <w:link w:val="Heading4Char"/>
    <w:uiPriority w:val="9"/>
    <w:semiHidden w:val="1"/>
    <w:unhideWhenUsed w:val="1"/>
    <w:qFormat w:val="1"/>
    <w:rsid w:val="00A96D9C"/>
    <w:pPr>
      <w:keepNext w:val="1"/>
      <w:keepLines w:val="1"/>
      <w:spacing w:after="40" w:before="240"/>
      <w:outlineLvl w:val="3"/>
    </w:pPr>
    <w:rPr>
      <w:b w:val="1"/>
      <w:sz w:val="24"/>
      <w:szCs w:val="24"/>
    </w:rPr>
  </w:style>
  <w:style w:type="paragraph" w:styleId="Heading5">
    <w:name w:val="heading 5"/>
    <w:basedOn w:val="Normal"/>
    <w:next w:val="Normal"/>
    <w:link w:val="Heading5Char"/>
    <w:uiPriority w:val="9"/>
    <w:semiHidden w:val="1"/>
    <w:unhideWhenUsed w:val="1"/>
    <w:qFormat w:val="1"/>
    <w:rsid w:val="00A96D9C"/>
    <w:pPr>
      <w:keepNext w:val="1"/>
      <w:keepLines w:val="1"/>
      <w:spacing w:after="40" w:before="220"/>
      <w:outlineLvl w:val="4"/>
    </w:pPr>
    <w:rPr>
      <w:b w:val="1"/>
    </w:rPr>
  </w:style>
  <w:style w:type="paragraph" w:styleId="Heading6">
    <w:name w:val="heading 6"/>
    <w:basedOn w:val="Normal"/>
    <w:next w:val="Normal"/>
    <w:link w:val="Heading6Char"/>
    <w:uiPriority w:val="9"/>
    <w:semiHidden w:val="1"/>
    <w:unhideWhenUsed w:val="1"/>
    <w:qFormat w:val="1"/>
    <w:rsid w:val="00A96D9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A96D9C"/>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3"/>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StdBodyText1"/>
    <w:rsid w:val="006B02AC"/>
    <w:pPr>
      <w:tabs>
        <w:tab w:val="num" w:pos="720"/>
      </w:tabs>
      <w:overflowPunct w:val="1"/>
      <w:autoSpaceDE w:val="1"/>
      <w:autoSpaceDN w:val="1"/>
      <w:adjustRightInd w:val="1"/>
      <w:spacing w:after="200" w:before="100"/>
      <w:ind w:left="720" w:hanging="72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6B02AC"/>
    <w:pPr>
      <w:numPr>
        <w:ilvl w:val="1"/>
      </w:numPr>
      <w:tabs>
        <w:tab w:val="num" w:pos="720"/>
      </w:tabs>
      <w:ind w:left="720" w:hanging="720"/>
    </w:pPr>
    <w:rPr>
      <w:b w:val="0"/>
    </w:rPr>
  </w:style>
  <w:style w:type="paragraph" w:styleId="AppendixText3" w:customStyle="1">
    <w:name w:val="Appendix Text 3"/>
    <w:basedOn w:val="Normal"/>
    <w:next w:val="Normal"/>
    <w:rsid w:val="006B02AC"/>
    <w:pPr>
      <w:numPr>
        <w:ilvl w:val="2"/>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6B02AC"/>
    <w:pPr>
      <w:numPr>
        <w:ilvl w:val="3"/>
        <w:numId w:val="4"/>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6B02AC"/>
    <w:pPr>
      <w:numPr>
        <w:ilvl w:val="4"/>
        <w:numId w:val="4"/>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style>
  <w:style w:type="numbering" w:styleId="Scheduleheading" w:customStyle="1">
    <w:name w:val="Schedule heading"/>
    <w:uiPriority w:val="99"/>
    <w:rsid w:val="0034142A"/>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uiPriority w:val="11"/>
    <w:qFormat w:val="1"/>
    <w:pPr>
      <w:keepNext w:val="1"/>
      <w:keepLines w:val="1"/>
      <w:spacing w:after="80" w:before="36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table" w:styleId="a" w:customStyle="1">
    <w:basedOn w:val="TableNormal"/>
    <w:pPr>
      <w:spacing w:after="0"/>
    </w:pPr>
    <w:rPr>
      <w:sz w:val="20"/>
      <w:szCs w:val="20"/>
    </w:rPr>
    <w:tblPr>
      <w:tblStyleRowBandSize w:val="1"/>
      <w:tblStyleColBandSize w:val="1"/>
    </w:tblPr>
  </w:style>
  <w:style w:type="table" w:styleId="a0" w:customStyle="1">
    <w:basedOn w:val="TableNormal"/>
    <w:pPr>
      <w:spacing w:after="0"/>
    </w:pPr>
    <w:rPr>
      <w:sz w:val="20"/>
      <w:szCs w:val="20"/>
    </w:rPr>
    <w:tblPr>
      <w:tblStyleRowBandSize w:val="1"/>
      <w:tblStyleColBandSize w:val="1"/>
    </w:tblPr>
  </w:style>
  <w:style w:type="table" w:styleId="a1" w:customStyle="1">
    <w:basedOn w:val="TableNormal"/>
    <w:pPr>
      <w:spacing w:after="0"/>
    </w:pPr>
    <w:rPr>
      <w:sz w:val="20"/>
      <w:szCs w:val="20"/>
    </w:rPr>
    <w:tblPr>
      <w:tblStyleRowBandSize w:val="1"/>
      <w:tblStyleColBandSize w:val="1"/>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pPr>
    <w:rPr>
      <w:sz w:val="20"/>
      <w:szCs w:val="20"/>
    </w:rPr>
    <w:tblPr>
      <w:tblStyleRowBandSize w:val="1"/>
      <w:tblStyleColBandSize w:val="1"/>
    </w:tblPr>
  </w:style>
  <w:style w:type="paragraph" w:styleId="NormalWeb">
    <w:name w:val="Normal (Web)"/>
    <w:basedOn w:val="Normal"/>
    <w:uiPriority w:val="99"/>
    <w:unhideWhenUsed w:val="1"/>
    <w:rsid w:val="008C3928"/>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R2COR+Z+pEIqxrjp3KUirQcCYQ==">CgMxLjAyCWguM2R5NnZrbTIJaC4xY2k5M3hiMgloLjN3aHdtbDQyCWguMmJuNndzeDIIaC5xc2g3MHEyCWguM2FzNHBvajIJaC4xcHhlendjMgloLjQ5eDJpazUyCGguZ2pkZ3hzMgloLjJwMmNzcnkyCWguMTQ3bjJ6cjIJaC40aTdvamhwOAByITFKZmR0aVN0aS14SXdxRVp3M3pkM3dzUVRFdnlmam5LbQ==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2023-09-20T10:22:00Z</dcterms:created>
  <dc:creator>Phil Davies-Peerless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